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8C" w:rsidRPr="00ED5C8C" w:rsidRDefault="00ED5C8C" w:rsidP="00ED5C8C">
      <w:pPr>
        <w:widowControl/>
        <w:shd w:val="clear" w:color="auto" w:fill="FFFFFF"/>
        <w:spacing w:before="100" w:beforeAutospacing="1" w:after="100" w:afterAutospacing="1" w:line="540" w:lineRule="atLeast"/>
        <w:jc w:val="left"/>
        <w:rPr>
          <w:rFonts w:ascii="黑体" w:eastAsia="黑体" w:hAnsi="黑体" w:cs="宋体"/>
          <w:b/>
          <w:color w:val="000000"/>
          <w:kern w:val="0"/>
          <w:sz w:val="32"/>
          <w:szCs w:val="32"/>
        </w:rPr>
      </w:pPr>
      <w:r w:rsidRPr="00ED5C8C">
        <w:rPr>
          <w:rFonts w:ascii="黑体" w:eastAsia="黑体" w:hAnsi="黑体" w:cs="宋体" w:hint="eastAsia"/>
          <w:b/>
          <w:color w:val="000000"/>
          <w:kern w:val="0"/>
          <w:sz w:val="32"/>
          <w:szCs w:val="32"/>
        </w:rPr>
        <w:t>关于对入党积极分子和发展对象实施分级培训的通知</w:t>
      </w:r>
    </w:p>
    <w:p w:rsidR="00ED5C8C" w:rsidRPr="00ED5C8C" w:rsidRDefault="00ED5C8C" w:rsidP="00ED5C8C">
      <w:pPr>
        <w:widowControl/>
        <w:shd w:val="clear" w:color="auto" w:fill="FFFFFF"/>
        <w:spacing w:before="100" w:beforeAutospacing="1" w:after="100" w:afterAutospacing="1" w:line="540" w:lineRule="atLeast"/>
        <w:jc w:val="left"/>
        <w:rPr>
          <w:rFonts w:ascii="宋体" w:eastAsia="宋体" w:hAnsi="宋体" w:cs="宋体"/>
          <w:color w:val="000000"/>
          <w:kern w:val="0"/>
          <w:sz w:val="24"/>
          <w:szCs w:val="24"/>
        </w:rPr>
      </w:pPr>
      <w:r w:rsidRPr="00ED5C8C">
        <w:rPr>
          <w:rFonts w:ascii="仿宋" w:eastAsia="仿宋" w:hAnsi="仿宋" w:cs="宋体" w:hint="eastAsia"/>
          <w:color w:val="000000"/>
          <w:kern w:val="0"/>
          <w:sz w:val="32"/>
          <w:szCs w:val="32"/>
        </w:rPr>
        <w:t>各二级党委：</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仿宋" w:eastAsia="仿宋" w:hAnsi="仿宋" w:cs="宋体" w:hint="eastAsia"/>
          <w:color w:val="000000"/>
          <w:kern w:val="0"/>
          <w:sz w:val="32"/>
          <w:szCs w:val="32"/>
        </w:rPr>
        <w:t>为进一步完善入党教育</w:t>
      </w:r>
      <w:bookmarkStart w:id="0" w:name="_GoBack"/>
      <w:bookmarkEnd w:id="0"/>
      <w:r w:rsidRPr="00ED5C8C">
        <w:rPr>
          <w:rFonts w:ascii="仿宋" w:eastAsia="仿宋" w:hAnsi="仿宋" w:cs="宋体" w:hint="eastAsia"/>
          <w:color w:val="000000"/>
          <w:kern w:val="0"/>
          <w:sz w:val="32"/>
          <w:szCs w:val="32"/>
        </w:rPr>
        <w:t>培训体系，不断提高新发展党员质量，根据《关于进一步加强高校学生党员发展和教育管理服务工作的若干意见》（教党〔2013〕22号）和《中国共产党发展党员工作细则》（中办发〔2014〕33号）等有关精神和要求，经研究决定，全校自2014年9月起，对入党积极分子和发展对象实施分级培训，现将有关事宜通知如下：</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黑体" w:eastAsia="黑体" w:hAnsi="黑体" w:cs="宋体" w:hint="eastAsia"/>
          <w:color w:val="000000"/>
          <w:kern w:val="0"/>
          <w:sz w:val="32"/>
          <w:szCs w:val="32"/>
        </w:rPr>
        <w:t>一、培训目标</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仿宋" w:eastAsia="仿宋" w:hAnsi="仿宋" w:cs="宋体" w:hint="eastAsia"/>
          <w:color w:val="000000"/>
          <w:kern w:val="0"/>
          <w:sz w:val="32"/>
          <w:szCs w:val="32"/>
        </w:rPr>
        <w:t>按照分层实施，分级培训的原则，以院、校两级党校为主阵地，逐步构建较为完善的入党教育培训体系。力争通过分级培训，提升培训效果，让每一位申请入党的学生和教职工坚定理想信念，增强党性修养，端正入党动机，成为一名合格的共产党员。</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黑体" w:eastAsia="黑体" w:hAnsi="黑体" w:cs="宋体" w:hint="eastAsia"/>
          <w:color w:val="000000"/>
          <w:kern w:val="0"/>
          <w:sz w:val="32"/>
          <w:szCs w:val="32"/>
        </w:rPr>
        <w:t>二、培训安排</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仿宋" w:eastAsia="仿宋" w:hAnsi="仿宋" w:cs="宋体" w:hint="eastAsia"/>
          <w:color w:val="000000"/>
          <w:kern w:val="0"/>
          <w:sz w:val="32"/>
          <w:szCs w:val="32"/>
        </w:rPr>
        <w:t>根据培训原则，二级党校负责入党积极分子培训，学校党校负责发展对象培训。</w:t>
      </w:r>
    </w:p>
    <w:p w:rsidR="00ED5C8C" w:rsidRPr="00ED5C8C" w:rsidRDefault="00ED5C8C" w:rsidP="00ED5C8C">
      <w:pPr>
        <w:widowControl/>
        <w:shd w:val="clear" w:color="auto" w:fill="FFFFFF"/>
        <w:spacing w:before="100" w:beforeAutospacing="1" w:after="100" w:afterAutospacing="1" w:line="540" w:lineRule="atLeast"/>
        <w:ind w:firstLine="643"/>
        <w:jc w:val="left"/>
        <w:rPr>
          <w:rFonts w:ascii="宋体" w:eastAsia="宋体" w:hAnsi="宋体" w:cs="宋体" w:hint="eastAsia"/>
          <w:color w:val="000000"/>
          <w:kern w:val="0"/>
          <w:sz w:val="24"/>
          <w:szCs w:val="24"/>
        </w:rPr>
      </w:pPr>
      <w:r w:rsidRPr="00ED5C8C">
        <w:rPr>
          <w:rFonts w:ascii="仿宋" w:eastAsia="仿宋" w:hAnsi="仿宋" w:cs="宋体" w:hint="eastAsia"/>
          <w:b/>
          <w:bCs/>
          <w:color w:val="000000"/>
          <w:kern w:val="0"/>
          <w:sz w:val="32"/>
          <w:szCs w:val="32"/>
        </w:rPr>
        <w:t>1.入党积极分子培训安排</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仿宋" w:eastAsia="仿宋" w:hAnsi="仿宋" w:cs="宋体" w:hint="eastAsia"/>
          <w:color w:val="000000"/>
          <w:kern w:val="0"/>
          <w:sz w:val="32"/>
          <w:szCs w:val="32"/>
        </w:rPr>
        <w:lastRenderedPageBreak/>
        <w:t>设有二级党校的党委确定的入党积极分子由各二级党校负责培训，未设二级党校的党委每学期第4周前将拟参加入党积极分子培训班学习的学员名单报学校党校，由学校党校统一安排到其他二级党校开办的入党积极分子培训班学习。</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仿宋" w:eastAsia="仿宋" w:hAnsi="仿宋" w:cs="宋体" w:hint="eastAsia"/>
          <w:color w:val="000000"/>
          <w:kern w:val="0"/>
          <w:sz w:val="32"/>
          <w:szCs w:val="32"/>
        </w:rPr>
        <w:t>各二级党校举办入党积极分子培训班执行《中国石油大学（华东）二级党校工作条例》，要提前将教学计划、教师安排、学员名单等报学校党校，经校党校批准后方可开班，培训时间由各二级党校根据实际情况安排。</w:t>
      </w:r>
    </w:p>
    <w:p w:rsidR="00ED5C8C" w:rsidRPr="00ED5C8C" w:rsidRDefault="00ED5C8C" w:rsidP="00ED5C8C">
      <w:pPr>
        <w:widowControl/>
        <w:shd w:val="clear" w:color="auto" w:fill="FFFFFF"/>
        <w:spacing w:before="100" w:beforeAutospacing="1" w:after="100" w:afterAutospacing="1" w:line="540" w:lineRule="atLeast"/>
        <w:ind w:firstLine="643"/>
        <w:jc w:val="left"/>
        <w:rPr>
          <w:rFonts w:ascii="宋体" w:eastAsia="宋体" w:hAnsi="宋体" w:cs="宋体" w:hint="eastAsia"/>
          <w:color w:val="000000"/>
          <w:kern w:val="0"/>
          <w:sz w:val="24"/>
          <w:szCs w:val="24"/>
        </w:rPr>
      </w:pPr>
      <w:r w:rsidRPr="00ED5C8C">
        <w:rPr>
          <w:rFonts w:ascii="仿宋" w:eastAsia="仿宋" w:hAnsi="仿宋" w:cs="宋体" w:hint="eastAsia"/>
          <w:b/>
          <w:bCs/>
          <w:color w:val="000000"/>
          <w:kern w:val="0"/>
          <w:sz w:val="32"/>
          <w:szCs w:val="32"/>
        </w:rPr>
        <w:t>2.发展对象培训安排</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仿宋" w:eastAsia="仿宋" w:hAnsi="仿宋" w:cs="宋体" w:hint="eastAsia"/>
          <w:color w:val="000000"/>
          <w:kern w:val="0"/>
          <w:sz w:val="32"/>
          <w:szCs w:val="32"/>
        </w:rPr>
        <w:t>经过一年以上培养教育和考察、基本具备党员条件且通过入党积极分子培训班培训并获得结业证书的入党积极分子,确定为发展对象后，要参加由学校党校统一举办的发展对象培训。按照《中国共产党发展党员工作细则》规定，培训时间一般不少于三天（或不少于二十四个学时）。我校发展对象培训一般安排在每学期第12周左右，具体安排另行通知。</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仿宋" w:eastAsia="仿宋" w:hAnsi="仿宋" w:cs="宋体" w:hint="eastAsia"/>
          <w:color w:val="000000"/>
          <w:kern w:val="0"/>
          <w:sz w:val="32"/>
          <w:szCs w:val="32"/>
        </w:rPr>
        <w:t>各教学院（部）要组织本科新生党员在入学后第一学期参加入党积极分子培训，第二学期参加发展对象培训，并参加相应的考试，考试不合格者延期转正。</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黑体" w:eastAsia="黑体" w:hAnsi="黑体" w:cs="宋体" w:hint="eastAsia"/>
          <w:color w:val="000000"/>
          <w:kern w:val="0"/>
          <w:sz w:val="32"/>
          <w:szCs w:val="32"/>
        </w:rPr>
        <w:lastRenderedPageBreak/>
        <w:t>三、有关要求</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仿宋" w:eastAsia="仿宋" w:hAnsi="仿宋" w:cs="宋体" w:hint="eastAsia"/>
          <w:color w:val="000000"/>
          <w:kern w:val="0"/>
          <w:sz w:val="32"/>
          <w:szCs w:val="32"/>
        </w:rPr>
        <w:t>抓好入党前培训对保证新发展党员质量，建设高素质的党员队伍具有十分重要的意义，各二级党委要高度重视入党积极分子和发展对象的教育培训工作，严格遴选培训班学员，严格要求培训班学员。</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仿宋" w:eastAsia="仿宋" w:hAnsi="仿宋" w:cs="宋体" w:hint="eastAsia"/>
          <w:color w:val="000000"/>
          <w:kern w:val="0"/>
          <w:sz w:val="32"/>
          <w:szCs w:val="32"/>
        </w:rPr>
        <w:t>学生和教职工入党前必须要参加入党积极分子培训和发展对象培训，未经培训或培训未获得毕业证书的，原则上不能发展入党，各二级党委要认真审核,</w:t>
      </w:r>
      <w:r w:rsidRPr="00ED5C8C">
        <w:rPr>
          <w:rFonts w:ascii="Calibri" w:eastAsia="仿宋" w:hAnsi="Calibri" w:cs="Calibri"/>
          <w:color w:val="000000"/>
          <w:kern w:val="0"/>
          <w:sz w:val="32"/>
          <w:szCs w:val="32"/>
        </w:rPr>
        <w:t> </w:t>
      </w:r>
      <w:r w:rsidRPr="00ED5C8C">
        <w:rPr>
          <w:rFonts w:ascii="仿宋" w:eastAsia="仿宋" w:hAnsi="仿宋" w:cs="宋体" w:hint="eastAsia"/>
          <w:color w:val="000000"/>
          <w:kern w:val="0"/>
          <w:sz w:val="32"/>
          <w:szCs w:val="32"/>
        </w:rPr>
        <w:t>严格把关。</w:t>
      </w:r>
    </w:p>
    <w:p w:rsidR="00ED5C8C" w:rsidRPr="00ED5C8C" w:rsidRDefault="00ED5C8C" w:rsidP="00ED5C8C">
      <w:pPr>
        <w:widowControl/>
        <w:shd w:val="clear" w:color="auto" w:fill="FFFFFF"/>
        <w:spacing w:before="100" w:beforeAutospacing="1" w:after="100" w:afterAutospacing="1" w:line="540" w:lineRule="atLeast"/>
        <w:ind w:firstLine="640"/>
        <w:jc w:val="left"/>
        <w:rPr>
          <w:rFonts w:ascii="宋体" w:eastAsia="宋体" w:hAnsi="宋体" w:cs="宋体" w:hint="eastAsia"/>
          <w:color w:val="000000"/>
          <w:kern w:val="0"/>
          <w:sz w:val="24"/>
          <w:szCs w:val="24"/>
        </w:rPr>
      </w:pPr>
      <w:r w:rsidRPr="00ED5C8C">
        <w:rPr>
          <w:rFonts w:ascii="Calibri" w:eastAsia="仿宋" w:hAnsi="Calibri" w:cs="Calibri"/>
          <w:color w:val="000000"/>
          <w:kern w:val="0"/>
          <w:sz w:val="32"/>
          <w:szCs w:val="32"/>
        </w:rPr>
        <w:t> </w:t>
      </w:r>
    </w:p>
    <w:p w:rsidR="00ED5C8C" w:rsidRPr="00ED5C8C" w:rsidRDefault="00ED5C8C" w:rsidP="00ED5C8C">
      <w:pPr>
        <w:widowControl/>
        <w:shd w:val="clear" w:color="auto" w:fill="FFFFFF"/>
        <w:spacing w:before="100" w:beforeAutospacing="1" w:after="100" w:afterAutospacing="1" w:line="540" w:lineRule="atLeast"/>
        <w:ind w:firstLine="4048"/>
        <w:jc w:val="center"/>
        <w:rPr>
          <w:rFonts w:ascii="宋体" w:eastAsia="宋体" w:hAnsi="宋体" w:cs="宋体" w:hint="eastAsia"/>
          <w:color w:val="000000"/>
          <w:kern w:val="0"/>
          <w:sz w:val="24"/>
          <w:szCs w:val="24"/>
        </w:rPr>
      </w:pPr>
      <w:r w:rsidRPr="00ED5C8C">
        <w:rPr>
          <w:rFonts w:ascii="仿宋" w:eastAsia="仿宋" w:hAnsi="仿宋" w:cs="宋体" w:hint="eastAsia"/>
          <w:color w:val="000000"/>
          <w:kern w:val="0"/>
          <w:sz w:val="32"/>
          <w:szCs w:val="32"/>
        </w:rPr>
        <w:t>党委组织部</w:t>
      </w:r>
    </w:p>
    <w:p w:rsidR="00ED5C8C" w:rsidRPr="00ED5C8C" w:rsidRDefault="00ED5C8C" w:rsidP="00ED5C8C">
      <w:pPr>
        <w:widowControl/>
        <w:shd w:val="clear" w:color="auto" w:fill="FFFFFF"/>
        <w:spacing w:before="100" w:beforeAutospacing="1" w:after="100" w:afterAutospacing="1" w:line="540" w:lineRule="atLeast"/>
        <w:ind w:firstLine="4048"/>
        <w:jc w:val="center"/>
        <w:rPr>
          <w:rFonts w:ascii="宋体" w:eastAsia="宋体" w:hAnsi="宋体" w:cs="宋体" w:hint="eastAsia"/>
          <w:color w:val="000000"/>
          <w:kern w:val="0"/>
          <w:sz w:val="24"/>
          <w:szCs w:val="24"/>
        </w:rPr>
      </w:pPr>
      <w:r w:rsidRPr="00ED5C8C">
        <w:rPr>
          <w:rFonts w:ascii="仿宋" w:eastAsia="仿宋" w:hAnsi="仿宋" w:cs="宋体" w:hint="eastAsia"/>
          <w:color w:val="000000"/>
          <w:kern w:val="0"/>
          <w:sz w:val="32"/>
          <w:szCs w:val="32"/>
        </w:rPr>
        <w:t>2014年9月25日</w:t>
      </w:r>
    </w:p>
    <w:p w:rsidR="0057227C" w:rsidRDefault="0057227C"/>
    <w:sectPr w:rsidR="00572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B2" w:rsidRDefault="00F465B2" w:rsidP="00ED5C8C">
      <w:r>
        <w:separator/>
      </w:r>
    </w:p>
  </w:endnote>
  <w:endnote w:type="continuationSeparator" w:id="0">
    <w:p w:rsidR="00F465B2" w:rsidRDefault="00F465B2" w:rsidP="00ED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B2" w:rsidRDefault="00F465B2" w:rsidP="00ED5C8C">
      <w:r>
        <w:separator/>
      </w:r>
    </w:p>
  </w:footnote>
  <w:footnote w:type="continuationSeparator" w:id="0">
    <w:p w:rsidR="00F465B2" w:rsidRDefault="00F465B2" w:rsidP="00ED5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A6"/>
    <w:rsid w:val="005300A6"/>
    <w:rsid w:val="0057227C"/>
    <w:rsid w:val="00ED5C8C"/>
    <w:rsid w:val="00F4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0A7C4"/>
  <w15:chartTrackingRefBased/>
  <w15:docId w15:val="{ABB45CDE-50D9-45FB-B3A8-94DC0B2B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5C8C"/>
    <w:rPr>
      <w:sz w:val="18"/>
      <w:szCs w:val="18"/>
    </w:rPr>
  </w:style>
  <w:style w:type="paragraph" w:styleId="a5">
    <w:name w:val="footer"/>
    <w:basedOn w:val="a"/>
    <w:link w:val="a6"/>
    <w:uiPriority w:val="99"/>
    <w:unhideWhenUsed/>
    <w:rsid w:val="00ED5C8C"/>
    <w:pPr>
      <w:tabs>
        <w:tab w:val="center" w:pos="4153"/>
        <w:tab w:val="right" w:pos="8306"/>
      </w:tabs>
      <w:snapToGrid w:val="0"/>
      <w:jc w:val="left"/>
    </w:pPr>
    <w:rPr>
      <w:sz w:val="18"/>
      <w:szCs w:val="18"/>
    </w:rPr>
  </w:style>
  <w:style w:type="character" w:customStyle="1" w:styleId="a6">
    <w:name w:val="页脚 字符"/>
    <w:basedOn w:val="a0"/>
    <w:link w:val="a5"/>
    <w:uiPriority w:val="99"/>
    <w:rsid w:val="00ED5C8C"/>
    <w:rPr>
      <w:sz w:val="18"/>
      <w:szCs w:val="18"/>
    </w:rPr>
  </w:style>
  <w:style w:type="character" w:styleId="a7">
    <w:name w:val="Strong"/>
    <w:basedOn w:val="a0"/>
    <w:uiPriority w:val="22"/>
    <w:qFormat/>
    <w:rsid w:val="00ED5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2020-07-02T02:16:00Z</dcterms:created>
  <dcterms:modified xsi:type="dcterms:W3CDTF">2020-07-02T02:16:00Z</dcterms:modified>
</cp:coreProperties>
</file>